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2A" w:rsidRDefault="00220E2A">
      <w:pPr>
        <w:rPr>
          <w:b/>
        </w:rPr>
      </w:pPr>
    </w:p>
    <w:p w:rsidR="00FB5784" w:rsidRDefault="00FB5784">
      <w:pPr>
        <w:rPr>
          <w:b/>
        </w:rPr>
      </w:pPr>
      <w:r>
        <w:rPr>
          <w:b/>
        </w:rPr>
        <w:t>DOM ZA STARIJE I NEMOĆNE OSOBE</w:t>
      </w:r>
    </w:p>
    <w:p w:rsidR="00FB5784" w:rsidRDefault="00FB5784">
      <w:pPr>
        <w:rPr>
          <w:b/>
        </w:rPr>
      </w:pPr>
      <w:r>
        <w:rPr>
          <w:b/>
        </w:rPr>
        <w:t>VINKOVCI, Nikole Tesle 43b</w:t>
      </w:r>
    </w:p>
    <w:p w:rsidR="00FB5784" w:rsidRDefault="00FB5784">
      <w:pPr>
        <w:rPr>
          <w:b/>
        </w:rPr>
      </w:pPr>
      <w:proofErr w:type="spellStart"/>
      <w:r>
        <w:rPr>
          <w:b/>
        </w:rPr>
        <w:t>Tel</w:t>
      </w:r>
      <w:proofErr w:type="spellEnd"/>
      <w:r>
        <w:rPr>
          <w:b/>
        </w:rPr>
        <w:t xml:space="preserve">.(032) 369-884, </w:t>
      </w:r>
      <w:proofErr w:type="spellStart"/>
      <w:r>
        <w:rPr>
          <w:b/>
        </w:rPr>
        <w:t>Fax</w:t>
      </w:r>
      <w:proofErr w:type="spellEnd"/>
      <w:r>
        <w:rPr>
          <w:b/>
        </w:rPr>
        <w:t>: 369-881</w:t>
      </w:r>
    </w:p>
    <w:p w:rsidR="00C549F8" w:rsidRDefault="005B2AFD">
      <w:pPr>
        <w:rPr>
          <w:b/>
        </w:rPr>
      </w:pPr>
      <w:r>
        <w:rPr>
          <w:b/>
        </w:rPr>
        <w:t>KLASA</w:t>
      </w:r>
      <w:r w:rsidR="00412944">
        <w:rPr>
          <w:b/>
        </w:rPr>
        <w:t>: 550-01/</w:t>
      </w:r>
      <w:r w:rsidR="00E31844">
        <w:rPr>
          <w:b/>
        </w:rPr>
        <w:t>2</w:t>
      </w:r>
      <w:r w:rsidR="00E17853">
        <w:rPr>
          <w:b/>
        </w:rPr>
        <w:t>4</w:t>
      </w:r>
      <w:r w:rsidR="006E6C3E">
        <w:rPr>
          <w:b/>
        </w:rPr>
        <w:t>-01/</w:t>
      </w:r>
      <w:r w:rsidR="00E552F7">
        <w:rPr>
          <w:b/>
        </w:rPr>
        <w:t>130</w:t>
      </w:r>
    </w:p>
    <w:p w:rsidR="00EB79BB" w:rsidRDefault="002C4AAB">
      <w:pPr>
        <w:rPr>
          <w:b/>
        </w:rPr>
      </w:pPr>
      <w:r>
        <w:rPr>
          <w:b/>
        </w:rPr>
        <w:t>UR.</w:t>
      </w:r>
      <w:r w:rsidR="005B2AFD">
        <w:rPr>
          <w:b/>
        </w:rPr>
        <w:t>BR</w:t>
      </w:r>
      <w:r w:rsidR="006E6C3E">
        <w:rPr>
          <w:b/>
        </w:rPr>
        <w:t>. 21</w:t>
      </w:r>
      <w:r w:rsidR="00E31844">
        <w:rPr>
          <w:b/>
        </w:rPr>
        <w:t>9</w:t>
      </w:r>
      <w:r w:rsidR="00685710">
        <w:rPr>
          <w:b/>
        </w:rPr>
        <w:t>9</w:t>
      </w:r>
      <w:r w:rsidR="006E6C3E">
        <w:rPr>
          <w:b/>
        </w:rPr>
        <w:t>-</w:t>
      </w:r>
      <w:r w:rsidR="00E31844">
        <w:rPr>
          <w:b/>
        </w:rPr>
        <w:t>9</w:t>
      </w:r>
      <w:r w:rsidR="00685710">
        <w:rPr>
          <w:b/>
        </w:rPr>
        <w:t>6</w:t>
      </w:r>
      <w:r w:rsidR="006E6C3E">
        <w:rPr>
          <w:b/>
        </w:rPr>
        <w:t>-</w:t>
      </w:r>
      <w:r w:rsidR="00E31844">
        <w:rPr>
          <w:b/>
        </w:rPr>
        <w:t>2</w:t>
      </w:r>
      <w:r w:rsidR="00E17853">
        <w:rPr>
          <w:b/>
        </w:rPr>
        <w:t>4</w:t>
      </w:r>
      <w:r w:rsidR="00FB5784">
        <w:rPr>
          <w:b/>
        </w:rPr>
        <w:t>-03</w:t>
      </w:r>
      <w:r w:rsidR="00685710">
        <w:rPr>
          <w:b/>
        </w:rPr>
        <w:t>/1</w:t>
      </w:r>
      <w:r w:rsidR="00E552F7">
        <w:rPr>
          <w:b/>
        </w:rPr>
        <w:t>-1</w:t>
      </w:r>
      <w:r w:rsidR="00FB5784">
        <w:rPr>
          <w:b/>
        </w:rPr>
        <w:t xml:space="preserve">                          </w:t>
      </w:r>
      <w:r w:rsidR="00B42D1E">
        <w:rPr>
          <w:b/>
        </w:rPr>
        <w:t xml:space="preserve">   </w:t>
      </w:r>
      <w:r w:rsidR="006E6C3E">
        <w:rPr>
          <w:b/>
        </w:rPr>
        <w:t xml:space="preserve">              </w:t>
      </w:r>
    </w:p>
    <w:p w:rsidR="006B4B56" w:rsidRDefault="006B4B56">
      <w:pPr>
        <w:rPr>
          <w:b/>
        </w:rPr>
      </w:pPr>
    </w:p>
    <w:p w:rsidR="008C5557" w:rsidRDefault="006B4B56" w:rsidP="008C5557">
      <w:pPr>
        <w:rPr>
          <w:b/>
        </w:rPr>
      </w:pPr>
      <w:r>
        <w:rPr>
          <w:b/>
        </w:rPr>
        <w:t xml:space="preserve">Vinkovci, </w:t>
      </w:r>
      <w:r w:rsidR="00432340">
        <w:rPr>
          <w:b/>
        </w:rPr>
        <w:t>23.07.2025</w:t>
      </w:r>
    </w:p>
    <w:p w:rsidR="008C5557" w:rsidRDefault="008C5557" w:rsidP="008C5557">
      <w:pPr>
        <w:rPr>
          <w:b/>
        </w:rPr>
      </w:pPr>
    </w:p>
    <w:p w:rsidR="00C549F8" w:rsidRDefault="00C549F8"/>
    <w:p w:rsidR="00C549F8" w:rsidRDefault="00C549F8">
      <w:r>
        <w:t>OBRAZLOŽENJE PLUGODIŠNJEG IZVJEŠTAJA O IZVRŠENJU FINANCIJSKOG PLANA DOMA ZA STARIJE I NEMOĆNE OSOBE VINKOVCI ZA 202</w:t>
      </w:r>
      <w:r w:rsidR="00432340">
        <w:t>5</w:t>
      </w:r>
      <w:r>
        <w:t>.GODINU.</w:t>
      </w:r>
    </w:p>
    <w:p w:rsidR="00C549F8" w:rsidRDefault="00C549F8"/>
    <w:p w:rsidR="00C549F8" w:rsidRDefault="00C549F8">
      <w:r>
        <w:t xml:space="preserve">Dom za starije i nemoćne osobe Vinkovci donosi ovo obrazloženje temeljem odredbi </w:t>
      </w:r>
      <w:proofErr w:type="spellStart"/>
      <w:r>
        <w:t>čl</w:t>
      </w:r>
      <w:proofErr w:type="spellEnd"/>
      <w:r>
        <w:t>. 81-86</w:t>
      </w:r>
      <w:r w:rsidR="00E552F7">
        <w:t>.</w:t>
      </w:r>
      <w:r>
        <w:t xml:space="preserve"> Zakona o proračunu ( NN 144/21 ) kojima je utvrđena obveza izrade polugodišnjeg i godišnjeg izvještaja o izvršenju financijskog plana za proračunske i izvanproračunske korisnike, dok je Pravilnikom o polugodišnjem i godišnjem izvje</w:t>
      </w:r>
      <w:r w:rsidR="00140629">
        <w:t>štaju o izvršenju proračuna i financijskog plana propisan izgled, sadržaj, obveznici primjene, način i rokovi podnošenja, donošenja i objave istog.</w:t>
      </w:r>
    </w:p>
    <w:p w:rsidR="00140629" w:rsidRDefault="00140629"/>
    <w:p w:rsidR="00140629" w:rsidRDefault="00140629">
      <w:r>
        <w:t>OBRAZLOŽENJE OPĆEG DIJELA</w:t>
      </w:r>
    </w:p>
    <w:p w:rsidR="00140629" w:rsidRDefault="00140629"/>
    <w:p w:rsidR="00140629" w:rsidRDefault="00140629">
      <w:r>
        <w:t>Dom za starije i nemoćne osobe Vinkovci ustanova je socijalne skrbi koja pruža usluge smještaja i skrbi za starije osobe.</w:t>
      </w:r>
    </w:p>
    <w:p w:rsidR="00140629" w:rsidRDefault="00140629">
      <w:r>
        <w:t>Dom kao proračunski korisnik proračuna Vukovarsko srijemske županije ima slijedeće izvore financiranja u polugodišnjem izvršenju za 202</w:t>
      </w:r>
      <w:r w:rsidR="00432340">
        <w:t>5</w:t>
      </w:r>
      <w:r>
        <w:t>. godinu:</w:t>
      </w:r>
    </w:p>
    <w:p w:rsidR="00140629" w:rsidRDefault="00140629">
      <w:r>
        <w:t>-izvor 11</w:t>
      </w:r>
      <w:r w:rsidR="00432340">
        <w:t>3</w:t>
      </w:r>
      <w:r>
        <w:t xml:space="preserve"> -  opći prihodi i primici</w:t>
      </w:r>
    </w:p>
    <w:p w:rsidR="00140629" w:rsidRDefault="00140629">
      <w:r>
        <w:t>-izvor 43</w:t>
      </w:r>
      <w:r w:rsidR="00432340">
        <w:t>2</w:t>
      </w:r>
      <w:r>
        <w:t xml:space="preserve"> -  prihodi za posebne namjene</w:t>
      </w:r>
    </w:p>
    <w:p w:rsidR="00432340" w:rsidRDefault="00432340">
      <w:r>
        <w:t>-izvor 482 -  prihodi za posebne namjene-</w:t>
      </w:r>
      <w:proofErr w:type="spellStart"/>
      <w:r>
        <w:t>dec</w:t>
      </w:r>
      <w:proofErr w:type="spellEnd"/>
      <w:r>
        <w:t>.</w:t>
      </w:r>
    </w:p>
    <w:p w:rsidR="00140629" w:rsidRDefault="00140629">
      <w:r>
        <w:t>-izvor 5</w:t>
      </w:r>
      <w:r w:rsidR="00432340">
        <w:t>1</w:t>
      </w:r>
      <w:r>
        <w:t>2 -  pomoći</w:t>
      </w:r>
    </w:p>
    <w:p w:rsidR="00140629" w:rsidRDefault="00140629">
      <w:r>
        <w:t>-izvor 61</w:t>
      </w:r>
      <w:r w:rsidR="00432340">
        <w:t>2</w:t>
      </w:r>
      <w:r>
        <w:t xml:space="preserve"> </w:t>
      </w:r>
      <w:r w:rsidR="00432340">
        <w:t xml:space="preserve">- </w:t>
      </w:r>
      <w:r>
        <w:t xml:space="preserve"> donacije</w:t>
      </w:r>
    </w:p>
    <w:p w:rsidR="00140629" w:rsidRDefault="00140629"/>
    <w:p w:rsidR="00140629" w:rsidRDefault="00140629">
      <w:r>
        <w:t>PRIHODI POSLOVANJA</w:t>
      </w:r>
    </w:p>
    <w:p w:rsidR="007C13B1" w:rsidRDefault="007C13B1"/>
    <w:p w:rsidR="005075F5" w:rsidRDefault="00140629">
      <w:r>
        <w:t>Prihodi za posebne namjene ostvareni su u iznosu o</w:t>
      </w:r>
      <w:r w:rsidR="005075F5">
        <w:t xml:space="preserve">d </w:t>
      </w:r>
      <w:r w:rsidR="007B1553">
        <w:t xml:space="preserve">760.592,15 </w:t>
      </w:r>
      <w:r w:rsidR="005075F5">
        <w:t>eura i veći su u odnosu na isto razdoblje prethodne godine, zbog povećanja cijena 01.0</w:t>
      </w:r>
      <w:r w:rsidR="007B1553">
        <w:t>2</w:t>
      </w:r>
      <w:r w:rsidR="005075F5">
        <w:t>.202</w:t>
      </w:r>
      <w:r w:rsidR="007B1553">
        <w:t>4</w:t>
      </w:r>
      <w:r w:rsidR="005075F5">
        <w:t>. i 01.0</w:t>
      </w:r>
      <w:r w:rsidR="007B1553">
        <w:t>7</w:t>
      </w:r>
      <w:r w:rsidR="005075F5">
        <w:t xml:space="preserve">.2024 u ukupnom postotku </w:t>
      </w:r>
      <w:r w:rsidR="007B1553">
        <w:t xml:space="preserve">17,39 %.. </w:t>
      </w:r>
    </w:p>
    <w:p w:rsidR="007C13B1" w:rsidRDefault="007B1553">
      <w:r>
        <w:t>Prihodi za posebne namjene-</w:t>
      </w:r>
      <w:proofErr w:type="spellStart"/>
      <w:r>
        <w:t>dec</w:t>
      </w:r>
      <w:proofErr w:type="spellEnd"/>
      <w:r>
        <w:t xml:space="preserve"> sredstva </w:t>
      </w:r>
      <w:r w:rsidR="005075F5">
        <w:t xml:space="preserve">  za finan</w:t>
      </w:r>
      <w:r>
        <w:t>ciranje redovnog poslovanja veća</w:t>
      </w:r>
      <w:r w:rsidR="005075F5">
        <w:t xml:space="preserve"> su u odnosu na prethodnu godinu sukladno Odluci o financiranju decentraliziranih funkcija za </w:t>
      </w:r>
      <w:r>
        <w:t xml:space="preserve">11% </w:t>
      </w:r>
    </w:p>
    <w:p w:rsidR="007C13B1" w:rsidRDefault="007C13B1">
      <w:r>
        <w:t>Opći prihodi i primici odnose se na prihode od osnivača Vukovarsko srijemske županije za pokriće rashoda poslovanja  i to materijalnih rashoda u iznosu od 5.226,07 eura i rashoda za zaposlene u iznosu od 185.373,93 eura.</w:t>
      </w:r>
    </w:p>
    <w:p w:rsidR="000232AB" w:rsidRDefault="005075F5">
      <w:r>
        <w:t xml:space="preserve">Tekuće pomoći iz proračuna koji nam nije nadležan odnosi se na pomoć za smanjivanje utjecaja porasta cijene energenata za pružatelje socijalnih usluga u Republici Hrvatskoj, te pomoć iz proračuna koji nam nije nadležan u iznosu od </w:t>
      </w:r>
      <w:r w:rsidR="007C13B1">
        <w:t xml:space="preserve"> 1.200</w:t>
      </w:r>
      <w:r>
        <w:t>,00 eura</w:t>
      </w:r>
      <w:r w:rsidR="000232AB">
        <w:t xml:space="preserve"> u okviru projekta </w:t>
      </w:r>
      <w:r w:rsidR="007C13B1">
        <w:t xml:space="preserve">BAŠ ZA NAS – 2, </w:t>
      </w:r>
      <w:r w:rsidR="000232AB">
        <w:t>za koji sredstava odobrava Grad Vinkovci.</w:t>
      </w:r>
    </w:p>
    <w:p w:rsidR="000232AB" w:rsidRDefault="000232AB">
      <w:r>
        <w:t xml:space="preserve">Prihod od donacije odnosi se na donaciju trgovačkog društva </w:t>
      </w:r>
      <w:r w:rsidR="007C13B1">
        <w:t>za uređenje okoliša u sklopu radne terapije.</w:t>
      </w:r>
    </w:p>
    <w:p w:rsidR="000232AB" w:rsidRDefault="000232AB"/>
    <w:p w:rsidR="00140629" w:rsidRDefault="000232AB">
      <w:r>
        <w:t xml:space="preserve"> </w:t>
      </w:r>
    </w:p>
    <w:p w:rsidR="00A51A8B" w:rsidRDefault="00A51A8B"/>
    <w:p w:rsidR="001521CD" w:rsidRDefault="00185801">
      <w:r>
        <w:t>RASHODI POSLOVANJA</w:t>
      </w:r>
    </w:p>
    <w:p w:rsidR="00185801" w:rsidRDefault="00185801"/>
    <w:p w:rsidR="00185801" w:rsidRDefault="00185801">
      <w:r>
        <w:t xml:space="preserve">Rashodi poslovanja_su za </w:t>
      </w:r>
      <w:r w:rsidR="006D5DFD">
        <w:t>15,18</w:t>
      </w:r>
      <w:r w:rsidR="00AE6219">
        <w:t xml:space="preserve"> </w:t>
      </w:r>
      <w:r>
        <w:t>%</w:t>
      </w:r>
      <w:r w:rsidR="00AE6219">
        <w:t xml:space="preserve"> veći </w:t>
      </w:r>
      <w:r>
        <w:t xml:space="preserve"> u odnosu  na prethodnu godinu, te za </w:t>
      </w:r>
      <w:r w:rsidR="006D5DFD">
        <w:t>2,53</w:t>
      </w:r>
      <w:r w:rsidR="00AE6219">
        <w:t xml:space="preserve"> </w:t>
      </w:r>
      <w:r>
        <w:t>% u odnosu na plan tekuće godine.</w:t>
      </w:r>
    </w:p>
    <w:p w:rsidR="00185801" w:rsidRDefault="00185801">
      <w:r>
        <w:t xml:space="preserve">Rashodi za zaposlene veći su za </w:t>
      </w:r>
      <w:r w:rsidR="006D5DFD">
        <w:t xml:space="preserve">19,98 </w:t>
      </w:r>
      <w:r>
        <w:t xml:space="preserve">% u odnosu na isto razdoblje prethodne godine te </w:t>
      </w:r>
      <w:r w:rsidR="006D5DFD">
        <w:t>4,05</w:t>
      </w:r>
      <w:r w:rsidR="00AE6219">
        <w:t xml:space="preserve"> </w:t>
      </w:r>
      <w:r>
        <w:t>% u odnosu na plan tekuće godine, a sve zbog povećanje plaće i dodataka na plaću , sukladno Kolektivnom ugovoru i Zakona o plaća</w:t>
      </w:r>
      <w:r w:rsidR="00AE6219">
        <w:t>ma u javnim i državnim službama, koji je</w:t>
      </w:r>
      <w:r w:rsidR="00861B31">
        <w:t xml:space="preserve"> na snazi od 01.03.2024. godine, ali većim dijelom zbog ukidanja kontinuiranih rashoda od 01.01.2025.g. i načina knjiženja rashoda za zaposlene, pri čem smo za ovo razdoblje knjižili sedam plaća.</w:t>
      </w:r>
    </w:p>
    <w:p w:rsidR="00185801" w:rsidRDefault="00185801">
      <w:r>
        <w:t xml:space="preserve">Materijalni rashodi veći su za </w:t>
      </w:r>
      <w:r w:rsidR="00861B31">
        <w:t>1,61</w:t>
      </w:r>
      <w:r w:rsidR="00AE6219">
        <w:t xml:space="preserve"> </w:t>
      </w:r>
      <w:r>
        <w:t>%</w:t>
      </w:r>
      <w:r w:rsidR="00AE6219">
        <w:t xml:space="preserve"> </w:t>
      </w:r>
      <w:r>
        <w:t xml:space="preserve">u odnosu na isto razdoblje prethodne godine, ali su u odnosu na plan manji za </w:t>
      </w:r>
      <w:r w:rsidR="00861B31">
        <w:t>1,95</w:t>
      </w:r>
      <w:r>
        <w:t xml:space="preserve">%. </w:t>
      </w:r>
    </w:p>
    <w:p w:rsidR="00EF7653" w:rsidRDefault="00685ECB">
      <w:r>
        <w:t>U okviru materijalnih rashoda vidljivo je povećanje</w:t>
      </w:r>
      <w:r w:rsidR="00861B31">
        <w:t xml:space="preserve"> naknada troškova zaposlenima iz razloga navedenog kod rashoda za zaposlene, , veći su i rashodi za materijal za održavanje za 46,97 % u odnosu na isto razdoblje prethodne godine zbog potrebe nabave materijala koji je bilo potrebno zamijeniti na objektima i opremi ( slavine, vodokotlići i </w:t>
      </w:r>
      <w:proofErr w:type="spellStart"/>
      <w:r w:rsidR="00861B31">
        <w:t>sl</w:t>
      </w:r>
      <w:proofErr w:type="spellEnd"/>
      <w:r w:rsidR="00861B31">
        <w:t>.) . Rashodi za usluge su na nivou protekle godine, ali je unutar skupine vidljivo povećanje rashoda za investicijsko održavanje</w:t>
      </w:r>
      <w:r w:rsidR="00EF7653">
        <w:t xml:space="preserve"> za 62,64%, te komunalnih usluga, a posebno u apsolutnom iznosu od 5.135,00 eura  kod usluga odvoza smeća, zbog značajnog povećanja cijena. </w:t>
      </w:r>
      <w:r>
        <w:t xml:space="preserve"> </w:t>
      </w:r>
    </w:p>
    <w:p w:rsidR="00685ECB" w:rsidRDefault="00EF7653">
      <w:r>
        <w:t>Smanjenje rashoda u apsolutnom iznosu je vi</w:t>
      </w:r>
      <w:r w:rsidR="00AE6219">
        <w:t xml:space="preserve">dljivo </w:t>
      </w:r>
      <w:r>
        <w:t>kod</w:t>
      </w:r>
      <w:r w:rsidR="00AE6219">
        <w:t xml:space="preserve"> </w:t>
      </w:r>
      <w:r w:rsidR="00685ECB">
        <w:t>ostal</w:t>
      </w:r>
      <w:r w:rsidR="00AE6219">
        <w:t xml:space="preserve">ih </w:t>
      </w:r>
      <w:r w:rsidR="00685ECB">
        <w:t xml:space="preserve"> intelektualn</w:t>
      </w:r>
      <w:r w:rsidR="00AE6219">
        <w:t>ih  usluga</w:t>
      </w:r>
      <w:r w:rsidR="00685ECB">
        <w:t xml:space="preserve"> zbog </w:t>
      </w:r>
      <w:r>
        <w:t xml:space="preserve">nepostojanja </w:t>
      </w:r>
      <w:r w:rsidR="00685ECB">
        <w:t>obveze plaćanja odvjetničkih troškova</w:t>
      </w:r>
      <w:r w:rsidR="00AE6219">
        <w:t xml:space="preserve"> za utuženi  privremeni dodatak te usluga za promidžbu i informiranje zbog objave</w:t>
      </w:r>
      <w:r>
        <w:t xml:space="preserve"> natječaja za zapošljavanje koje smo imali u proteklom razdoblju. </w:t>
      </w:r>
    </w:p>
    <w:p w:rsidR="00EF7653" w:rsidRDefault="00685ECB">
      <w:r>
        <w:t xml:space="preserve">Financijski rashodi su veći u odnosu na isto razdoblje prethodne godine za </w:t>
      </w:r>
      <w:r w:rsidR="00EF7653">
        <w:t xml:space="preserve">18,97 % zbog povećanja cijena  usluga banke, ali su manji za </w:t>
      </w:r>
      <w:r w:rsidR="00AE6219">
        <w:t xml:space="preserve"> </w:t>
      </w:r>
      <w:r w:rsidR="00EF7653">
        <w:t>2,20</w:t>
      </w:r>
      <w:r w:rsidR="00AE6219">
        <w:t>0 % u odnosu na plan</w:t>
      </w:r>
      <w:r w:rsidR="00EF7653">
        <w:t>.</w:t>
      </w:r>
      <w:r w:rsidR="00AE6219">
        <w:t xml:space="preserve"> </w:t>
      </w:r>
    </w:p>
    <w:p w:rsidR="00685ECB" w:rsidRDefault="00685ECB">
      <w:r>
        <w:t xml:space="preserve">Rashodi-naknade građanima u okviru skupine 37 </w:t>
      </w:r>
      <w:r w:rsidR="00A07EBA">
        <w:t xml:space="preserve">manji </w:t>
      </w:r>
      <w:r>
        <w:t xml:space="preserve"> su u odnosu na prethodnu godinu zbog </w:t>
      </w:r>
      <w:r w:rsidR="00A07EBA">
        <w:t xml:space="preserve">isplate džeparca za korisnike smještene temeljem rješenja  Zavoda za socijalnu skrb, a </w:t>
      </w:r>
      <w:r w:rsidR="00EF7653">
        <w:t>zbog nešto manjeg broja korisnika smještanih temeljem Rješenja u promatranom razdoblju.</w:t>
      </w:r>
    </w:p>
    <w:p w:rsidR="00185801" w:rsidRDefault="00685ECB">
      <w:r>
        <w:t xml:space="preserve">Rashodi za nabavu nefinancijske imovine </w:t>
      </w:r>
      <w:r w:rsidR="00EF7653">
        <w:t>u polugodišnjem razdoblju nismo imali.</w:t>
      </w:r>
    </w:p>
    <w:p w:rsidR="00685ECB" w:rsidRDefault="00685ECB"/>
    <w:p w:rsidR="00685ECB" w:rsidRDefault="00685ECB">
      <w:r>
        <w:t>Stanje žiro računa i blagajne na dan 30.06.202</w:t>
      </w:r>
      <w:r w:rsidR="00EF7653">
        <w:t>5</w:t>
      </w:r>
      <w:r>
        <w:t xml:space="preserve">. godine iznosi </w:t>
      </w:r>
      <w:r w:rsidR="00A233B5">
        <w:t>183.398,74</w:t>
      </w:r>
      <w:r w:rsidR="00A07EBA">
        <w:t xml:space="preserve"> </w:t>
      </w:r>
      <w:r>
        <w:t>eura i ta sredstava će se koristiti za isplatu plaća i obveza u mjesecu srpanj 202</w:t>
      </w:r>
      <w:r w:rsidR="00A233B5">
        <w:t>5</w:t>
      </w:r>
      <w:r>
        <w:t>.godine</w:t>
      </w:r>
    </w:p>
    <w:p w:rsidR="00685ECB" w:rsidRDefault="00685ECB">
      <w:r>
        <w:t xml:space="preserve">Obveze na kraju razdoblja iznose </w:t>
      </w:r>
      <w:r w:rsidR="00A233B5">
        <w:t>263.920,31</w:t>
      </w:r>
      <w:r w:rsidR="00A07EBA">
        <w:t xml:space="preserve"> </w:t>
      </w:r>
      <w:r>
        <w:t xml:space="preserve">eur, od čega je dospjelo </w:t>
      </w:r>
      <w:r w:rsidR="00A233B5">
        <w:t>18.341,42 eura</w:t>
      </w:r>
      <w:r w:rsidR="00A07EBA">
        <w:t xml:space="preserve">  (obveze prema Općoj bolnici Vinkovci </w:t>
      </w:r>
      <w:r w:rsidR="00A233B5">
        <w:t xml:space="preserve">) </w:t>
      </w:r>
      <w:r>
        <w:t>a</w:t>
      </w:r>
      <w:r w:rsidR="00A07EBA">
        <w:t xml:space="preserve"> nedospjelo je </w:t>
      </w:r>
      <w:r w:rsidR="00A233B5">
        <w:t>245.578,89</w:t>
      </w:r>
      <w:r w:rsidR="007653FE">
        <w:t xml:space="preserve"> </w:t>
      </w:r>
      <w:r w:rsidR="00A07EBA">
        <w:t>eur</w:t>
      </w:r>
      <w:r w:rsidR="00A233B5">
        <w:t>a</w:t>
      </w:r>
      <w:r w:rsidR="00A07EBA">
        <w:t xml:space="preserve">, od čega je obveza za </w:t>
      </w:r>
      <w:r w:rsidR="00A233B5">
        <w:t xml:space="preserve">plaće za mjesec lipanj iznosila 170..050,78 eura , a obveze za materijalne i financijske rashode iznose 75.521,11 eura. U odnosu na prethodno razdoblje to je značajno smanjenje ukupnih obveza na kraju izvještajnog razdoblja. </w:t>
      </w:r>
    </w:p>
    <w:p w:rsidR="00932A59" w:rsidRDefault="00932A59"/>
    <w:p w:rsidR="00932A59" w:rsidRDefault="00932A59"/>
    <w:p w:rsidR="00383EE9" w:rsidRDefault="00383EE9">
      <w:r>
        <w:t>OBRAZLOŽENJE PRENESENOG VIŠKA ODNOSNO MANJKA FINANACIJSKOG PLANA</w:t>
      </w:r>
    </w:p>
    <w:p w:rsidR="00383EE9" w:rsidRDefault="00383EE9"/>
    <w:p w:rsidR="00383EE9" w:rsidRDefault="00383EE9">
      <w:r>
        <w:t>U 202</w:t>
      </w:r>
      <w:r w:rsidR="00A233B5">
        <w:t>4</w:t>
      </w:r>
      <w:r>
        <w:t xml:space="preserve">. godini ostvaren je manjak u iznosu od </w:t>
      </w:r>
      <w:r w:rsidR="00A233B5">
        <w:t>36.068,69</w:t>
      </w:r>
      <w:r w:rsidR="00932A59">
        <w:t xml:space="preserve"> </w:t>
      </w:r>
      <w:r w:rsidR="00A233B5">
        <w:t>eura, koji se planira prema</w:t>
      </w:r>
      <w:r w:rsidR="00932A59">
        <w:t xml:space="preserve"> planu uravnoteženja pokriti u 2025.godini. </w:t>
      </w:r>
    </w:p>
    <w:p w:rsidR="00932A59" w:rsidRDefault="00932A59" w:rsidP="00932A59">
      <w:r>
        <w:t xml:space="preserve">Prema izvršenju ostvarenih prihoda i rashoda ostvaren je manjak poslovanja u iznosu od </w:t>
      </w:r>
      <w:r w:rsidR="00A233B5">
        <w:t>56.913,20</w:t>
      </w:r>
      <w:r>
        <w:t xml:space="preserve"> eura. Ostvareni manjak se sastoji od manjka prihoda </w:t>
      </w:r>
      <w:r w:rsidR="00A233B5">
        <w:t xml:space="preserve">općih prihoda i primitaka </w:t>
      </w:r>
      <w:r>
        <w:t xml:space="preserve"> i viška prihoda od pomoći </w:t>
      </w:r>
      <w:r w:rsidR="00A233B5">
        <w:t>od pomoći Grada Vinkovaca za projekt BAŠ ZA NAS-2, čija provedba će se odvijati u periodu od 01.08.2025.g-31.10.2025.</w:t>
      </w:r>
    </w:p>
    <w:p w:rsidR="00185801" w:rsidRDefault="00185801"/>
    <w:p w:rsidR="005C0127" w:rsidRDefault="005C0127">
      <w:pPr>
        <w:rPr>
          <w:b/>
        </w:rPr>
      </w:pPr>
      <w:r>
        <w:rPr>
          <w:b/>
        </w:rPr>
        <w:t xml:space="preserve">       </w:t>
      </w:r>
    </w:p>
    <w:p w:rsidR="00B9178C" w:rsidRDefault="00B9178C">
      <w:pPr>
        <w:rPr>
          <w:b/>
        </w:rPr>
      </w:pPr>
      <w:r>
        <w:rPr>
          <w:b/>
        </w:rPr>
        <w:lastRenderedPageBreak/>
        <w:t xml:space="preserve"> </w:t>
      </w:r>
      <w:r w:rsidR="00546201">
        <w:rPr>
          <w:b/>
        </w:rPr>
        <w:t xml:space="preserve">                     </w:t>
      </w:r>
    </w:p>
    <w:p w:rsidR="00B9178C" w:rsidRPr="007653FE" w:rsidRDefault="00EE27D3" w:rsidP="00B42D1E">
      <w:pPr>
        <w:ind w:left="1020"/>
      </w:pPr>
      <w:r w:rsidRPr="007653FE">
        <w:t xml:space="preserve">    </w:t>
      </w:r>
    </w:p>
    <w:tbl>
      <w:tblPr>
        <w:tblW w:w="15922" w:type="dxa"/>
        <w:tblInd w:w="-459" w:type="dxa"/>
        <w:tblLook w:val="04A0"/>
      </w:tblPr>
      <w:tblGrid>
        <w:gridCol w:w="15922"/>
      </w:tblGrid>
      <w:tr w:rsidR="00C83AD2" w:rsidRPr="00D35E71" w:rsidTr="006832CC">
        <w:trPr>
          <w:trHeight w:val="30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D35E71">
              <w:rPr>
                <w:color w:val="000000"/>
              </w:rPr>
              <w:t>OBRAZLOŽENJE POSEBNOG DIJELA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</w:p>
          <w:p w:rsidR="00C83AD2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D35E71">
              <w:rPr>
                <w:color w:val="000000"/>
              </w:rPr>
              <w:t xml:space="preserve">Osnovni program na kojem se temelji djelatnost Doma za starije  i nemoćne osobe Vinkovci je </w:t>
            </w:r>
            <w:r>
              <w:rPr>
                <w:color w:val="000000"/>
              </w:rPr>
              <w:t xml:space="preserve">pružanje 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socijalnih usluga smještaja starim i nemoćnim osobama.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35E71">
              <w:rPr>
                <w:color w:val="000000"/>
              </w:rPr>
              <w:t xml:space="preserve">U okviru </w:t>
            </w:r>
            <w:r w:rsidR="00F81143">
              <w:rPr>
                <w:color w:val="000000"/>
              </w:rPr>
              <w:t xml:space="preserve">aktivnosti </w:t>
            </w:r>
            <w:r w:rsidRPr="00D35E71">
              <w:rPr>
                <w:color w:val="000000"/>
              </w:rPr>
              <w:t xml:space="preserve"> socijalnih usluga Dom osigurava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35E71">
              <w:rPr>
                <w:color w:val="000000"/>
              </w:rPr>
              <w:t>-usluge stanovanja i prehrane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35E71">
              <w:rPr>
                <w:color w:val="000000"/>
              </w:rPr>
              <w:t>-brigu o zdravlju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35E71">
              <w:rPr>
                <w:color w:val="000000"/>
              </w:rPr>
              <w:t>-njegu i održavanje osobne higijene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35E71">
              <w:rPr>
                <w:color w:val="000000"/>
              </w:rPr>
              <w:t>-uslugu socijalnog rada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35E71">
              <w:rPr>
                <w:color w:val="000000"/>
              </w:rPr>
              <w:t>-uslugu fizikalne terapije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35E71">
              <w:rPr>
                <w:color w:val="000000"/>
              </w:rPr>
              <w:t>-aktivno provođenje vremena i radnih aktivnosti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35E71">
              <w:rPr>
                <w:color w:val="000000"/>
              </w:rPr>
              <w:t>-uslugu pranja i glačanja rublja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35E71">
              <w:rPr>
                <w:color w:val="000000"/>
              </w:rPr>
              <w:t>-čišćenje i održavanje zgrade i opreme</w:t>
            </w:r>
          </w:p>
          <w:p w:rsidR="00C83AD2" w:rsidRPr="00D35E71" w:rsidRDefault="00C83AD2" w:rsidP="00E552F7">
            <w:pPr>
              <w:jc w:val="both"/>
              <w:rPr>
                <w:color w:val="000000"/>
              </w:rPr>
            </w:pPr>
          </w:p>
          <w:p w:rsidR="00C83AD2" w:rsidRDefault="00E552F7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83AD2" w:rsidRPr="00D35E71">
              <w:rPr>
                <w:color w:val="000000"/>
              </w:rPr>
              <w:t xml:space="preserve">Za provođenje ovog Programa planirana su  ukupna financijska sredstava u iznosu od </w:t>
            </w:r>
            <w:r w:rsidR="00C83AD2">
              <w:rPr>
                <w:color w:val="000000"/>
              </w:rPr>
              <w:t>2.</w:t>
            </w:r>
            <w:r w:rsidR="00F81143">
              <w:rPr>
                <w:color w:val="000000"/>
              </w:rPr>
              <w:t>91</w:t>
            </w:r>
            <w:r w:rsidR="0091335B">
              <w:rPr>
                <w:color w:val="000000"/>
              </w:rPr>
              <w:t>3</w:t>
            </w:r>
            <w:r w:rsidR="00F81143">
              <w:rPr>
                <w:color w:val="000000"/>
              </w:rPr>
              <w:t>.</w:t>
            </w:r>
            <w:r w:rsidR="0091335B">
              <w:rPr>
                <w:color w:val="000000"/>
              </w:rPr>
              <w:t>2</w:t>
            </w:r>
            <w:r w:rsidR="00F81143">
              <w:rPr>
                <w:color w:val="000000"/>
              </w:rPr>
              <w:t>90,0</w:t>
            </w:r>
            <w:r w:rsidR="00C83AD2">
              <w:rPr>
                <w:color w:val="000000"/>
              </w:rPr>
              <w:t xml:space="preserve">0 eura po </w:t>
            </w:r>
          </w:p>
          <w:p w:rsidR="00C83AD2" w:rsidRDefault="00E552F7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83AD2">
              <w:rPr>
                <w:color w:val="000000"/>
              </w:rPr>
              <w:t>slijedećim programima:</w:t>
            </w:r>
          </w:p>
          <w:p w:rsidR="00C83AD2" w:rsidRDefault="00E552F7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="00C83AD2">
              <w:rPr>
                <w:color w:val="000000"/>
              </w:rPr>
              <w:t xml:space="preserve"> P 1001 Decentralizirana sredstva  za financiranje redovnih rashoda i nabavu nefinancijske imovine i hitnih</w:t>
            </w:r>
          </w:p>
          <w:p w:rsidR="00C83AD2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intervencija</w:t>
            </w:r>
          </w:p>
          <w:p w:rsidR="00C83AD2" w:rsidRDefault="00C83AD2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P 1002 Program Sredstva od </w:t>
            </w:r>
            <w:proofErr w:type="spellStart"/>
            <w:r>
              <w:rPr>
                <w:color w:val="000000"/>
              </w:rPr>
              <w:t>opskrbnina</w:t>
            </w:r>
            <w:proofErr w:type="spellEnd"/>
            <w:r>
              <w:rPr>
                <w:color w:val="000000"/>
              </w:rPr>
              <w:t>, pomoći</w:t>
            </w:r>
            <w:r w:rsidR="00F81143">
              <w:rPr>
                <w:color w:val="000000"/>
              </w:rPr>
              <w:t>,</w:t>
            </w:r>
            <w:r>
              <w:rPr>
                <w:color w:val="000000"/>
              </w:rPr>
              <w:t>donacija</w:t>
            </w:r>
            <w:r w:rsidR="00474B0B">
              <w:rPr>
                <w:color w:val="000000"/>
              </w:rPr>
              <w:t xml:space="preserve"> </w:t>
            </w:r>
            <w:r w:rsidR="00F81143">
              <w:rPr>
                <w:color w:val="000000"/>
              </w:rPr>
              <w:t xml:space="preserve">i općih prihoda i primitaka </w:t>
            </w:r>
            <w:r w:rsidR="00474B0B">
              <w:rPr>
                <w:color w:val="000000"/>
              </w:rPr>
              <w:t xml:space="preserve">za financiranje redovnih </w:t>
            </w:r>
          </w:p>
          <w:p w:rsidR="00F81143" w:rsidRDefault="00F81143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rashoda</w:t>
            </w:r>
          </w:p>
          <w:p w:rsidR="00C83AD2" w:rsidRDefault="00C83AD2" w:rsidP="00E552F7">
            <w:pPr>
              <w:jc w:val="both"/>
              <w:rPr>
                <w:color w:val="000000"/>
              </w:rPr>
            </w:pPr>
          </w:p>
          <w:p w:rsidR="00E552F7" w:rsidRDefault="00E552F7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83AD2">
              <w:rPr>
                <w:color w:val="000000"/>
              </w:rPr>
              <w:t xml:space="preserve">Prema </w:t>
            </w:r>
            <w:r w:rsidR="00474B0B">
              <w:rPr>
                <w:color w:val="000000"/>
              </w:rPr>
              <w:t xml:space="preserve">polugodišnjem izvještaju </w:t>
            </w:r>
            <w:r w:rsidR="00C83AD2">
              <w:rPr>
                <w:color w:val="000000"/>
              </w:rPr>
              <w:t xml:space="preserve"> </w:t>
            </w:r>
            <w:r w:rsidR="00474B0B">
              <w:rPr>
                <w:color w:val="000000"/>
              </w:rPr>
              <w:t xml:space="preserve">ostvareno je izvršenje  za provođenje programa  P1001 u iznosu od </w:t>
            </w:r>
          </w:p>
          <w:p w:rsidR="00C83AD2" w:rsidRPr="00D35E71" w:rsidRDefault="00E552F7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81143">
              <w:rPr>
                <w:color w:val="000000"/>
              </w:rPr>
              <w:t>468.787,98</w:t>
            </w:r>
            <w:r>
              <w:rPr>
                <w:color w:val="000000"/>
              </w:rPr>
              <w:t xml:space="preserve"> eura ukupno sukladno planiranom, za program P1002 u iznosu od 1.012.305,35 eura.</w:t>
            </w:r>
          </w:p>
        </w:tc>
      </w:tr>
      <w:tr w:rsidR="00C83AD2" w:rsidRPr="00D35E71" w:rsidTr="006832CC">
        <w:trPr>
          <w:trHeight w:val="30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0B" w:rsidRDefault="00474B0B" w:rsidP="00E552F7">
            <w:pPr>
              <w:jc w:val="both"/>
              <w:rPr>
                <w:color w:val="000000"/>
              </w:rPr>
            </w:pPr>
          </w:p>
          <w:p w:rsidR="00474B0B" w:rsidRPr="00D35E71" w:rsidRDefault="00474B0B" w:rsidP="00E552F7">
            <w:pPr>
              <w:jc w:val="both"/>
              <w:rPr>
                <w:color w:val="000000"/>
              </w:rPr>
            </w:pPr>
          </w:p>
        </w:tc>
      </w:tr>
      <w:tr w:rsidR="00C83AD2" w:rsidRPr="00D35E71" w:rsidTr="006832CC">
        <w:trPr>
          <w:trHeight w:val="30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D2" w:rsidRDefault="00E552F7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83AD2">
              <w:rPr>
                <w:color w:val="000000"/>
              </w:rPr>
              <w:t xml:space="preserve">OBRAZLOŽENJA POSEBNIH IZVJEŠTAJA </w:t>
            </w:r>
          </w:p>
          <w:p w:rsidR="00C83AD2" w:rsidRDefault="00C83AD2" w:rsidP="00E552F7">
            <w:pPr>
              <w:jc w:val="both"/>
              <w:rPr>
                <w:color w:val="000000"/>
              </w:rPr>
            </w:pPr>
          </w:p>
          <w:p w:rsidR="00C83AD2" w:rsidRDefault="00E552F7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83AD2">
              <w:rPr>
                <w:color w:val="000000"/>
              </w:rPr>
              <w:t xml:space="preserve">1.Izvještaj o zaduživanju na domaćem i stranom tržištu novca i kapitala </w:t>
            </w:r>
          </w:p>
          <w:p w:rsidR="00474B0B" w:rsidRDefault="00474B0B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432340">
              <w:rPr>
                <w:color w:val="000000"/>
              </w:rPr>
              <w:t>-nije bilo zaduživanja na domaćem i stranom tržištu novca</w:t>
            </w:r>
          </w:p>
          <w:p w:rsidR="00432340" w:rsidRDefault="00432340" w:rsidP="00E552F7">
            <w:pPr>
              <w:jc w:val="both"/>
              <w:rPr>
                <w:color w:val="000000"/>
              </w:rPr>
            </w:pPr>
          </w:p>
          <w:p w:rsidR="00474B0B" w:rsidRDefault="00E552F7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83AD2">
              <w:rPr>
                <w:color w:val="000000"/>
              </w:rPr>
              <w:t>2.Izvještaj o danim jamstvima i plaćanjima po protestiranim jamstvima</w:t>
            </w:r>
            <w:r w:rsidR="00474B0B">
              <w:rPr>
                <w:color w:val="000000"/>
              </w:rPr>
              <w:t xml:space="preserve"> – nije bilo danih jamstava niti plaćanja</w:t>
            </w:r>
          </w:p>
          <w:p w:rsidR="00C83AD2" w:rsidRPr="00D35E71" w:rsidRDefault="008E5394" w:rsidP="00E552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552F7">
              <w:rPr>
                <w:color w:val="000000"/>
              </w:rPr>
              <w:t xml:space="preserve"> </w:t>
            </w:r>
            <w:r w:rsidR="00C83AD2">
              <w:rPr>
                <w:color w:val="000000"/>
              </w:rPr>
              <w:t>po protestiranim jamstvima.</w:t>
            </w:r>
          </w:p>
        </w:tc>
      </w:tr>
    </w:tbl>
    <w:p w:rsidR="00FB5784" w:rsidRDefault="00EE27D3" w:rsidP="00E552F7">
      <w:pPr>
        <w:ind w:left="1020" w:hanging="1020"/>
        <w:jc w:val="both"/>
        <w:rPr>
          <w:b/>
        </w:rPr>
      </w:pPr>
      <w:r>
        <w:rPr>
          <w:b/>
        </w:rPr>
        <w:t xml:space="preserve">       </w:t>
      </w:r>
    </w:p>
    <w:p w:rsidR="00B9178C" w:rsidRDefault="00EE27D3" w:rsidP="00CF3B6E">
      <w:pPr>
        <w:tabs>
          <w:tab w:val="right" w:pos="9072"/>
        </w:tabs>
        <w:ind w:left="1020"/>
        <w:rPr>
          <w:b/>
        </w:rPr>
      </w:pPr>
      <w:r>
        <w:rPr>
          <w:b/>
        </w:rPr>
        <w:t xml:space="preserve">   </w:t>
      </w:r>
    </w:p>
    <w:p w:rsidR="00EE27D3" w:rsidRDefault="00CF3B6E" w:rsidP="00FB5784">
      <w:pPr>
        <w:rPr>
          <w:b/>
        </w:rPr>
      </w:pPr>
      <w:r>
        <w:rPr>
          <w:b/>
        </w:rPr>
        <w:t xml:space="preserve">   </w:t>
      </w:r>
      <w:r w:rsidR="00EE27D3">
        <w:rPr>
          <w:b/>
        </w:rPr>
        <w:t xml:space="preserve">             </w:t>
      </w:r>
    </w:p>
    <w:p w:rsidR="00CF3B6E" w:rsidRPr="00E061B5" w:rsidRDefault="00CF3B6E" w:rsidP="00FB5784">
      <w:r>
        <w:rPr>
          <w:b/>
        </w:rPr>
        <w:t xml:space="preserve">  </w:t>
      </w:r>
      <w:r w:rsidR="00EE27D3">
        <w:rPr>
          <w:b/>
        </w:rPr>
        <w:t xml:space="preserve">            </w:t>
      </w:r>
    </w:p>
    <w:p w:rsidR="00CF3B6E" w:rsidRPr="00E061B5" w:rsidRDefault="00EE27D3" w:rsidP="00FB5784">
      <w:r w:rsidRPr="00E061B5">
        <w:t xml:space="preserve">            </w:t>
      </w:r>
      <w:r w:rsidR="00E061B5" w:rsidRPr="00E061B5">
        <w:tab/>
      </w:r>
      <w:r w:rsidR="00E061B5" w:rsidRPr="00E061B5">
        <w:tab/>
      </w:r>
      <w:r w:rsidR="00E061B5" w:rsidRPr="00E061B5">
        <w:tab/>
      </w:r>
      <w:r w:rsidR="00E061B5" w:rsidRPr="00E061B5">
        <w:tab/>
      </w:r>
      <w:r w:rsidR="00E061B5" w:rsidRPr="00E061B5">
        <w:tab/>
      </w:r>
      <w:r w:rsidR="00E061B5" w:rsidRPr="00E061B5">
        <w:tab/>
      </w:r>
      <w:r w:rsidR="00E061B5" w:rsidRPr="00E061B5">
        <w:tab/>
      </w:r>
      <w:r w:rsidR="00E061B5" w:rsidRPr="00E061B5">
        <w:tab/>
        <w:t>RAVNATELJICA</w:t>
      </w:r>
    </w:p>
    <w:p w:rsidR="00E061B5" w:rsidRPr="00E061B5" w:rsidRDefault="00E061B5" w:rsidP="00FB5784">
      <w:r w:rsidRPr="00E061B5">
        <w:tab/>
      </w:r>
      <w:r w:rsidRPr="00E061B5">
        <w:tab/>
      </w:r>
      <w:r w:rsidRPr="00E061B5">
        <w:tab/>
      </w:r>
      <w:r w:rsidRPr="00E061B5">
        <w:tab/>
      </w:r>
      <w:r w:rsidRPr="00E061B5">
        <w:tab/>
      </w:r>
      <w:r w:rsidRPr="00E061B5">
        <w:tab/>
      </w:r>
      <w:r w:rsidRPr="00E061B5">
        <w:tab/>
        <w:t>Gor</w:t>
      </w:r>
      <w:r>
        <w:t xml:space="preserve">dana </w:t>
      </w:r>
      <w:proofErr w:type="spellStart"/>
      <w:r>
        <w:t>Trifunović</w:t>
      </w:r>
      <w:proofErr w:type="spellEnd"/>
      <w:r>
        <w:t>, dipl.soc.pedago</w:t>
      </w:r>
      <w:r w:rsidRPr="00E061B5">
        <w:t>g</w:t>
      </w:r>
    </w:p>
    <w:p w:rsidR="00CF3B6E" w:rsidRDefault="00CF3B6E" w:rsidP="00FB5784">
      <w:pPr>
        <w:rPr>
          <w:b/>
        </w:rPr>
      </w:pPr>
      <w:r>
        <w:rPr>
          <w:b/>
        </w:rPr>
        <w:t xml:space="preserve">      </w:t>
      </w:r>
      <w:r w:rsidR="00EE27D3">
        <w:rPr>
          <w:b/>
        </w:rPr>
        <w:t xml:space="preserve">         </w:t>
      </w:r>
    </w:p>
    <w:p w:rsidR="005C0127" w:rsidRDefault="00F27DB1" w:rsidP="00FB5784">
      <w:pPr>
        <w:rPr>
          <w:b/>
        </w:rPr>
      </w:pPr>
      <w:r>
        <w:rPr>
          <w:b/>
        </w:rPr>
        <w:t xml:space="preserve">  </w:t>
      </w:r>
      <w:r w:rsidR="005C0127">
        <w:rPr>
          <w:b/>
        </w:rPr>
        <w:t xml:space="preserve">             </w:t>
      </w:r>
      <w:r>
        <w:rPr>
          <w:b/>
        </w:rPr>
        <w:t xml:space="preserve">              </w:t>
      </w:r>
      <w:r w:rsidR="00F94FBE">
        <w:rPr>
          <w:b/>
        </w:rPr>
        <w:t xml:space="preserve">                    </w:t>
      </w:r>
      <w:r w:rsidR="005C0127">
        <w:rPr>
          <w:b/>
        </w:rPr>
        <w:t xml:space="preserve">                                       </w:t>
      </w:r>
    </w:p>
    <w:p w:rsidR="00076C11" w:rsidRDefault="00F94FBE" w:rsidP="00FB5784">
      <w:pPr>
        <w:rPr>
          <w:b/>
        </w:rPr>
      </w:pPr>
      <w:r>
        <w:rPr>
          <w:b/>
        </w:rPr>
        <w:t xml:space="preserve"> </w:t>
      </w:r>
      <w:r w:rsidR="005C0127">
        <w:rPr>
          <w:b/>
        </w:rPr>
        <w:t xml:space="preserve">                                                                                          </w:t>
      </w:r>
      <w:r w:rsidR="00076C11">
        <w:rPr>
          <w:b/>
        </w:rPr>
        <w:t xml:space="preserve">       </w:t>
      </w:r>
      <w:r>
        <w:rPr>
          <w:b/>
        </w:rPr>
        <w:t xml:space="preserve">         </w:t>
      </w:r>
    </w:p>
    <w:p w:rsidR="00076C11" w:rsidRDefault="00076C11" w:rsidP="00FB5784">
      <w:pPr>
        <w:rPr>
          <w:b/>
        </w:rPr>
      </w:pPr>
      <w:r>
        <w:rPr>
          <w:b/>
        </w:rPr>
        <w:t xml:space="preserve">        </w:t>
      </w:r>
      <w:r w:rsidR="00F94FBE">
        <w:rPr>
          <w:b/>
        </w:rPr>
        <w:t xml:space="preserve">      </w:t>
      </w:r>
    </w:p>
    <w:p w:rsidR="00DF3F6D" w:rsidRDefault="00076C11" w:rsidP="00FB5784">
      <w:pPr>
        <w:rPr>
          <w:b/>
        </w:rPr>
      </w:pPr>
      <w:r>
        <w:rPr>
          <w:b/>
        </w:rPr>
        <w:t xml:space="preserve">              </w:t>
      </w:r>
      <w:r w:rsidR="00F94FBE">
        <w:rPr>
          <w:b/>
        </w:rPr>
        <w:t xml:space="preserve">                                                                          </w:t>
      </w:r>
    </w:p>
    <w:p w:rsidR="00F94FBE" w:rsidRDefault="00F94FBE" w:rsidP="00FB5784">
      <w:pPr>
        <w:rPr>
          <w:b/>
        </w:rPr>
      </w:pPr>
    </w:p>
    <w:p w:rsidR="00F94FBE" w:rsidRDefault="00F94FBE" w:rsidP="00FB5784">
      <w:pPr>
        <w:rPr>
          <w:b/>
        </w:rPr>
      </w:pPr>
    </w:p>
    <w:p w:rsidR="00DF3F6D" w:rsidRDefault="00412944" w:rsidP="00FB5784">
      <w:pPr>
        <w:rPr>
          <w:b/>
        </w:rPr>
      </w:pPr>
      <w:r>
        <w:rPr>
          <w:b/>
        </w:rPr>
        <w:t xml:space="preserve"> </w:t>
      </w:r>
      <w:r w:rsidR="00076C11">
        <w:rPr>
          <w:b/>
        </w:rPr>
        <w:t xml:space="preserve">  </w:t>
      </w:r>
      <w:r w:rsidR="00F94FBE">
        <w:rPr>
          <w:b/>
        </w:rPr>
        <w:t xml:space="preserve">              </w:t>
      </w:r>
    </w:p>
    <w:p w:rsidR="00DF3F6D" w:rsidRDefault="00DF3F6D" w:rsidP="00FB5784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DF3F6D" w:rsidRDefault="00FB5784" w:rsidP="00DF3F6D">
      <w:pPr>
        <w:jc w:val="right"/>
        <w:rPr>
          <w:b/>
        </w:rPr>
      </w:pPr>
      <w:r>
        <w:rPr>
          <w:b/>
        </w:rPr>
        <w:lastRenderedPageBreak/>
        <w:t xml:space="preserve">               </w:t>
      </w:r>
    </w:p>
    <w:p w:rsidR="00DF3F6D" w:rsidRDefault="00DF3F6D" w:rsidP="00DF3F6D">
      <w:pPr>
        <w:jc w:val="right"/>
        <w:rPr>
          <w:b/>
        </w:rPr>
      </w:pPr>
    </w:p>
    <w:p w:rsidR="00DF3F6D" w:rsidRDefault="00DF3F6D" w:rsidP="00DF3F6D">
      <w:pPr>
        <w:jc w:val="right"/>
        <w:rPr>
          <w:b/>
        </w:rPr>
      </w:pPr>
    </w:p>
    <w:p w:rsidR="00DF3F6D" w:rsidRPr="00FB5784" w:rsidRDefault="00DF3F6D" w:rsidP="00DF3F6D">
      <w:pPr>
        <w:jc w:val="right"/>
        <w:rPr>
          <w:b/>
        </w:rPr>
      </w:pPr>
    </w:p>
    <w:sectPr w:rsidR="00DF3F6D" w:rsidRPr="00FB5784" w:rsidSect="00F36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405"/>
    <w:multiLevelType w:val="hybridMultilevel"/>
    <w:tmpl w:val="AC5861E6"/>
    <w:lvl w:ilvl="0" w:tplc="7008668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734F7F33"/>
    <w:multiLevelType w:val="hybridMultilevel"/>
    <w:tmpl w:val="8000F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B5784"/>
    <w:rsid w:val="00002B9A"/>
    <w:rsid w:val="00006BC2"/>
    <w:rsid w:val="00012D18"/>
    <w:rsid w:val="000232AB"/>
    <w:rsid w:val="00051EBB"/>
    <w:rsid w:val="000640BD"/>
    <w:rsid w:val="0006797B"/>
    <w:rsid w:val="00070D0C"/>
    <w:rsid w:val="00076C11"/>
    <w:rsid w:val="00096985"/>
    <w:rsid w:val="000C3D49"/>
    <w:rsid w:val="000D682B"/>
    <w:rsid w:val="00125E94"/>
    <w:rsid w:val="00127A7E"/>
    <w:rsid w:val="00127B24"/>
    <w:rsid w:val="00140629"/>
    <w:rsid w:val="001521CD"/>
    <w:rsid w:val="00181BB2"/>
    <w:rsid w:val="001820A4"/>
    <w:rsid w:val="00185801"/>
    <w:rsid w:val="00193F04"/>
    <w:rsid w:val="00197F1A"/>
    <w:rsid w:val="001A3A6C"/>
    <w:rsid w:val="001C5C10"/>
    <w:rsid w:val="001E190E"/>
    <w:rsid w:val="00220E2A"/>
    <w:rsid w:val="002604D1"/>
    <w:rsid w:val="00261AEC"/>
    <w:rsid w:val="002A7C11"/>
    <w:rsid w:val="002B5748"/>
    <w:rsid w:val="002C4AAB"/>
    <w:rsid w:val="002D3216"/>
    <w:rsid w:val="003336DA"/>
    <w:rsid w:val="003739E0"/>
    <w:rsid w:val="0038059F"/>
    <w:rsid w:val="00383EE9"/>
    <w:rsid w:val="003E42D7"/>
    <w:rsid w:val="003E7865"/>
    <w:rsid w:val="003F1BCE"/>
    <w:rsid w:val="00412944"/>
    <w:rsid w:val="00432340"/>
    <w:rsid w:val="00440B17"/>
    <w:rsid w:val="004678E2"/>
    <w:rsid w:val="00474B0B"/>
    <w:rsid w:val="004874D7"/>
    <w:rsid w:val="004B6102"/>
    <w:rsid w:val="005075F5"/>
    <w:rsid w:val="0052099C"/>
    <w:rsid w:val="005368C0"/>
    <w:rsid w:val="00546201"/>
    <w:rsid w:val="0058686A"/>
    <w:rsid w:val="00593744"/>
    <w:rsid w:val="005B2AFD"/>
    <w:rsid w:val="005B33B9"/>
    <w:rsid w:val="005C0127"/>
    <w:rsid w:val="005D06B3"/>
    <w:rsid w:val="0066225F"/>
    <w:rsid w:val="00665B8C"/>
    <w:rsid w:val="006766C0"/>
    <w:rsid w:val="00682C8B"/>
    <w:rsid w:val="00683542"/>
    <w:rsid w:val="00685710"/>
    <w:rsid w:val="00685ECB"/>
    <w:rsid w:val="0069616D"/>
    <w:rsid w:val="006B4B56"/>
    <w:rsid w:val="006D5DFD"/>
    <w:rsid w:val="006D6215"/>
    <w:rsid w:val="006E3259"/>
    <w:rsid w:val="006E6C3E"/>
    <w:rsid w:val="006F4945"/>
    <w:rsid w:val="0070481D"/>
    <w:rsid w:val="00715878"/>
    <w:rsid w:val="00756FA6"/>
    <w:rsid w:val="007653FE"/>
    <w:rsid w:val="0077007B"/>
    <w:rsid w:val="007707DB"/>
    <w:rsid w:val="00770F6F"/>
    <w:rsid w:val="007B1553"/>
    <w:rsid w:val="007C13B1"/>
    <w:rsid w:val="007C33DD"/>
    <w:rsid w:val="007C36E8"/>
    <w:rsid w:val="007D18CD"/>
    <w:rsid w:val="007E26CA"/>
    <w:rsid w:val="007F2C15"/>
    <w:rsid w:val="00852D90"/>
    <w:rsid w:val="00861B31"/>
    <w:rsid w:val="00863F3F"/>
    <w:rsid w:val="00865079"/>
    <w:rsid w:val="0086608B"/>
    <w:rsid w:val="00866DFA"/>
    <w:rsid w:val="00887D02"/>
    <w:rsid w:val="008C5557"/>
    <w:rsid w:val="008D42D0"/>
    <w:rsid w:val="008D4780"/>
    <w:rsid w:val="008E5394"/>
    <w:rsid w:val="008F61E7"/>
    <w:rsid w:val="00901409"/>
    <w:rsid w:val="0091335B"/>
    <w:rsid w:val="00932A59"/>
    <w:rsid w:val="00A07EBA"/>
    <w:rsid w:val="00A107AA"/>
    <w:rsid w:val="00A233B5"/>
    <w:rsid w:val="00A23A09"/>
    <w:rsid w:val="00A31BC8"/>
    <w:rsid w:val="00A373C3"/>
    <w:rsid w:val="00A51A8B"/>
    <w:rsid w:val="00AD6877"/>
    <w:rsid w:val="00AE6219"/>
    <w:rsid w:val="00AF6710"/>
    <w:rsid w:val="00B35843"/>
    <w:rsid w:val="00B42D1E"/>
    <w:rsid w:val="00B55864"/>
    <w:rsid w:val="00B62871"/>
    <w:rsid w:val="00B671A9"/>
    <w:rsid w:val="00B9178C"/>
    <w:rsid w:val="00B947F3"/>
    <w:rsid w:val="00BA1DF9"/>
    <w:rsid w:val="00BE5F75"/>
    <w:rsid w:val="00C002E1"/>
    <w:rsid w:val="00C02FE9"/>
    <w:rsid w:val="00C4084A"/>
    <w:rsid w:val="00C549F8"/>
    <w:rsid w:val="00C83AD2"/>
    <w:rsid w:val="00C87A1B"/>
    <w:rsid w:val="00CC1093"/>
    <w:rsid w:val="00CD62F4"/>
    <w:rsid w:val="00CE5881"/>
    <w:rsid w:val="00CF3B6E"/>
    <w:rsid w:val="00D5060C"/>
    <w:rsid w:val="00D676AE"/>
    <w:rsid w:val="00DA6745"/>
    <w:rsid w:val="00DF3F6D"/>
    <w:rsid w:val="00E04E4F"/>
    <w:rsid w:val="00E061B5"/>
    <w:rsid w:val="00E17853"/>
    <w:rsid w:val="00E17BC2"/>
    <w:rsid w:val="00E30BE7"/>
    <w:rsid w:val="00E31844"/>
    <w:rsid w:val="00E433E5"/>
    <w:rsid w:val="00E44F92"/>
    <w:rsid w:val="00E552F7"/>
    <w:rsid w:val="00EA38F2"/>
    <w:rsid w:val="00EB79BB"/>
    <w:rsid w:val="00EE27D3"/>
    <w:rsid w:val="00EE2B35"/>
    <w:rsid w:val="00EF7653"/>
    <w:rsid w:val="00F031CA"/>
    <w:rsid w:val="00F27DB1"/>
    <w:rsid w:val="00F36C92"/>
    <w:rsid w:val="00F81143"/>
    <w:rsid w:val="00F94FBE"/>
    <w:rsid w:val="00FB5784"/>
    <w:rsid w:val="00FD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C9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">
    <w:name w:val="f"/>
    <w:basedOn w:val="Zadanifontodlomka"/>
    <w:rsid w:val="00AF6710"/>
  </w:style>
  <w:style w:type="character" w:styleId="Istaknuto">
    <w:name w:val="Emphasis"/>
    <w:basedOn w:val="Zadanifontodlomka"/>
    <w:uiPriority w:val="20"/>
    <w:qFormat/>
    <w:rsid w:val="00AF6710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77007B"/>
    <w:pPr>
      <w:spacing w:before="100" w:beforeAutospacing="1" w:after="100" w:afterAutospacing="1"/>
    </w:pPr>
  </w:style>
  <w:style w:type="paragraph" w:customStyle="1" w:styleId="DecimalAligned">
    <w:name w:val="Decimal Aligned"/>
    <w:basedOn w:val="Normal"/>
    <w:uiPriority w:val="40"/>
    <w:qFormat/>
    <w:rsid w:val="0038059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unhideWhenUsed/>
    <w:rsid w:val="0038059F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8059F"/>
    <w:rPr>
      <w:rFonts w:asciiTheme="minorHAnsi" w:eastAsiaTheme="minorEastAsia" w:hAnsiTheme="minorHAnsi" w:cstheme="minorBidi"/>
      <w:lang w:eastAsia="en-US"/>
    </w:rPr>
  </w:style>
  <w:style w:type="character" w:styleId="Neupadljivoisticanje">
    <w:name w:val="Subtle Emphasis"/>
    <w:basedOn w:val="Zadanifontodlomka"/>
    <w:uiPriority w:val="19"/>
    <w:qFormat/>
    <w:rsid w:val="0038059F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customStyle="1" w:styleId="Svijetlosjenanje-Isticanje11">
    <w:name w:val="Svijetlo sjenčanje - Isticanje 11"/>
    <w:basedOn w:val="Obinatablica"/>
    <w:uiPriority w:val="60"/>
    <w:rsid w:val="0038059F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dlomakpopisa">
    <w:name w:val="List Paragraph"/>
    <w:basedOn w:val="Normal"/>
    <w:uiPriority w:val="34"/>
    <w:qFormat/>
    <w:rsid w:val="00380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</vt:lpstr>
    </vt:vector>
  </TitlesOfParts>
  <Company>.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</dc:title>
  <dc:creator>Korisnik539</dc:creator>
  <cp:lastModifiedBy>korisnik539</cp:lastModifiedBy>
  <cp:revision>8</cp:revision>
  <cp:lastPrinted>2025-07-17T11:25:00Z</cp:lastPrinted>
  <dcterms:created xsi:type="dcterms:W3CDTF">2025-07-15T10:25:00Z</dcterms:created>
  <dcterms:modified xsi:type="dcterms:W3CDTF">2025-07-17T11:25:00Z</dcterms:modified>
</cp:coreProperties>
</file>